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237D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188F7E8F" w14:textId="31027CC7" w:rsidR="00560BC2" w:rsidRDefault="0011793F" w:rsidP="00237D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1793F">
              <w:rPr>
                <w:rFonts w:ascii="Times New Roman" w:hAnsi="Times New Roman"/>
                <w:b/>
                <w:szCs w:val="20"/>
              </w:rPr>
              <w:t xml:space="preserve">Zespół Kształcenia i Wychowania </w:t>
            </w:r>
            <w:r w:rsidRPr="0011793F">
              <w:rPr>
                <w:rFonts w:ascii="Times New Roman" w:hAnsi="Times New Roman"/>
                <w:b/>
                <w:szCs w:val="20"/>
              </w:rPr>
              <w:br/>
              <w:t>w Gniewinie</w:t>
            </w:r>
          </w:p>
          <w:p w14:paraId="4779B3C9" w14:textId="22AF7CD3" w:rsidR="00237D4E" w:rsidRPr="0011793F" w:rsidRDefault="00237D4E" w:rsidP="00237D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ul. Szkolna 1</w:t>
            </w:r>
            <w:bookmarkStart w:id="0" w:name="_GoBack"/>
            <w:bookmarkEnd w:id="0"/>
          </w:p>
          <w:p w14:paraId="56944402" w14:textId="34F428B0" w:rsidR="00153A22" w:rsidRPr="0074622A" w:rsidRDefault="00237D4E" w:rsidP="00237D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84-250 Gniewino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237D4E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237D4E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214A59" w14:textId="3C68119E" w:rsidR="00945AC5" w:rsidRPr="0011793F" w:rsidRDefault="0011793F" w:rsidP="001179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93F">
              <w:rPr>
                <w:rFonts w:ascii="Times New Roman" w:hAnsi="Times New Roman"/>
                <w:b/>
                <w:sz w:val="24"/>
                <w:szCs w:val="15"/>
              </w:rPr>
              <w:t>220444749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8"/>
        <w:gridCol w:w="317"/>
        <w:gridCol w:w="335"/>
        <w:gridCol w:w="326"/>
        <w:gridCol w:w="317"/>
        <w:gridCol w:w="317"/>
        <w:gridCol w:w="335"/>
        <w:gridCol w:w="326"/>
        <w:gridCol w:w="272"/>
        <w:gridCol w:w="336"/>
        <w:gridCol w:w="318"/>
        <w:gridCol w:w="369"/>
        <w:gridCol w:w="336"/>
        <w:gridCol w:w="336"/>
        <w:gridCol w:w="272"/>
        <w:gridCol w:w="318"/>
        <w:gridCol w:w="373"/>
        <w:gridCol w:w="272"/>
        <w:gridCol w:w="336"/>
        <w:gridCol w:w="336"/>
        <w:gridCol w:w="309"/>
        <w:gridCol w:w="318"/>
        <w:gridCol w:w="336"/>
        <w:gridCol w:w="336"/>
        <w:gridCol w:w="318"/>
        <w:gridCol w:w="336"/>
        <w:gridCol w:w="257"/>
        <w:gridCol w:w="309"/>
        <w:gridCol w:w="318"/>
        <w:gridCol w:w="221"/>
        <w:gridCol w:w="221"/>
        <w:gridCol w:w="221"/>
        <w:gridCol w:w="221"/>
        <w:gridCol w:w="221"/>
        <w:gridCol w:w="221"/>
      </w:tblGrid>
      <w:tr w:rsidR="0011793F" w:rsidRPr="0074622A" w14:paraId="363E7E78" w14:textId="77777777" w:rsidTr="00B25795">
        <w:tc>
          <w:tcPr>
            <w:tcW w:w="143" w:type="pct"/>
          </w:tcPr>
          <w:p w14:paraId="73DBA040" w14:textId="45FC1096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7BDABDA0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81CFC99" w14:textId="4BB394C6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1B13426A" w14:textId="08C8536E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4CE7A543" w14:textId="59D71928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6DBBE37D" w14:textId="22548C56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5C131EAE" w14:textId="367CCAF9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648CE52E" w14:textId="4CD1B530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0C410C1A" w14:textId="0F0766CD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3679F49F" w14:textId="41283CCD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7FAA53EC" w14:textId="7B92EBFA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4626E9C" w14:textId="2CA7719C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F3A237A" w14:textId="077F1E09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446FB9C4" w14:textId="517E1E1C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0D3661C2" w14:textId="3430477B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7A5102E0" w14:textId="65D711AF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10E83C72" w14:textId="38746B92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386398A3" w14:textId="76BDE808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5FE37A08" w14:textId="20830687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34CD766C" w14:textId="11AB113C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944EE31" w14:textId="45EF79AC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7472A949" w14:textId="78FFAE83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6DD54D67" w14:textId="4AAA3F68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2B075A3C" w14:textId="505DA31D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541D8657" w14:textId="28C745F6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0BB78995" w14:textId="59FDC13B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1B25C1AB" w14:textId="75CEA66F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12837ADD" w14:textId="201C636E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590D3D89" w14:textId="5EABC606" w:rsidR="00F84D18" w:rsidRPr="0074622A" w:rsidRDefault="0011793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62AD41E7" w:rsidR="00B71689" w:rsidRPr="0074622A" w:rsidRDefault="005E2FF6" w:rsidP="001179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11793F">
              <w:rPr>
                <w:rFonts w:ascii="Times New Roman" w:hAnsi="Times New Roman"/>
                <w:sz w:val="21"/>
                <w:szCs w:val="21"/>
              </w:rPr>
              <w:t xml:space="preserve">      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637D55E1" w:rsidR="00B71689" w:rsidRPr="0074622A" w:rsidRDefault="005E2FF6" w:rsidP="001179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</w:t>
            </w:r>
            <w:r w:rsidR="0011793F">
              <w:rPr>
                <w:rFonts w:ascii="Times New Roman" w:hAnsi="Times New Roman"/>
                <w:sz w:val="21"/>
                <w:szCs w:val="21"/>
              </w:rPr>
              <w:t xml:space="preserve">    WEJHEROWSKI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62E148AC" w:rsidR="00B71689" w:rsidRPr="0074622A" w:rsidRDefault="005E2FF6" w:rsidP="0011793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11793F">
              <w:rPr>
                <w:rFonts w:ascii="Times New Roman" w:hAnsi="Times New Roman"/>
                <w:sz w:val="21"/>
                <w:szCs w:val="21"/>
              </w:rPr>
              <w:t xml:space="preserve">        GNIEWINO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3DEF208" w:rsidR="002B0C8B" w:rsidRPr="0011793F" w:rsidRDefault="0011793F" w:rsidP="003068A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1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2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2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1043D4" w14:textId="538149E5" w:rsidR="005A32DE" w:rsidRPr="0011793F" w:rsidRDefault="0011793F" w:rsidP="003068A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BA0F8ED" w14:textId="43C2D68C" w:rsidR="006F594D" w:rsidRPr="0011793F" w:rsidRDefault="0011793F" w:rsidP="003068A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2"/>
              </w:rPr>
              <w:t>1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FCBA362" w14:textId="197540E1" w:rsidR="005A32DE" w:rsidRPr="0011793F" w:rsidRDefault="0011793F" w:rsidP="003068A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bookmarkEnd w:id="1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56E0A3C1" w14:textId="43F1B5A4" w:rsidR="006D188B" w:rsidRPr="0011793F" w:rsidRDefault="0011793F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76A09256" w14:textId="0403BFCF" w:rsidR="0054585E" w:rsidRPr="0011793F" w:rsidRDefault="0011793F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18C9EE3D" w:rsidR="0054585E" w:rsidRPr="0074622A" w:rsidRDefault="0011793F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6C169CE3" w:rsidR="0054585E" w:rsidRPr="0074622A" w:rsidRDefault="0011793F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22634446" w:rsidR="0054585E" w:rsidRPr="0074622A" w:rsidRDefault="0011793F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06AB04EC" w14:textId="3812C9D1" w:rsidR="0054585E" w:rsidRPr="0074622A" w:rsidRDefault="0011793F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D0B8FD6" w14:textId="05235360" w:rsidR="0054585E" w:rsidRPr="0011793F" w:rsidRDefault="0011793F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7FB426F" w14:textId="52EE8421" w:rsidR="006A7210" w:rsidRPr="0011793F" w:rsidRDefault="0011793F" w:rsidP="009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66CEF" w14:textId="367C811F" w:rsidR="0054585E" w:rsidRPr="0011793F" w:rsidRDefault="003B2445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1150EEA" w14:textId="3627C321" w:rsidR="00091150" w:rsidRPr="003B2445" w:rsidRDefault="003B2445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3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3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07112FD4" w:rsidR="00AE37D9" w:rsidRPr="0074622A" w:rsidRDefault="007C700D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64B5AAB0" w:rsidR="00AE37D9" w:rsidRPr="0074622A" w:rsidRDefault="007C70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27CD1539" w:rsidR="00AE37D9" w:rsidRPr="0074622A" w:rsidRDefault="007C700D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145C8125" w14:textId="0C726247" w:rsidR="00DD5380" w:rsidRPr="007C700D" w:rsidRDefault="007C700D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533B5C05" w14:textId="24F67B55" w:rsidR="00DD5380" w:rsidRPr="007C700D" w:rsidRDefault="007C700D" w:rsidP="00155B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5EF45CE" w14:textId="6301A352" w:rsidR="001F0BE3" w:rsidRPr="007C700D" w:rsidRDefault="007C700D" w:rsidP="00155B0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12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4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5" w:name="_Hlk156381352"/>
            <w:bookmarkStart w:id="6" w:name="_Hlk156381411"/>
            <w:bookmarkEnd w:id="4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4470EBE5" w:rsidR="00096325" w:rsidRPr="00CE271A" w:rsidRDefault="00CE271A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1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1EC1BC61" w:rsidR="00096325" w:rsidRPr="00CE271A" w:rsidRDefault="00CE271A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A758773" w:rsidR="00460B99" w:rsidRPr="0074622A" w:rsidRDefault="00CE271A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SZKOLAWGNIEWINIE.COM.PL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2CA1A98F" w:rsidR="00460B99" w:rsidRPr="0074622A" w:rsidRDefault="00CE271A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338E0CA4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1654F53" w:rsidR="00460B99" w:rsidRPr="0074622A" w:rsidRDefault="00645496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07920CAF" w:rsidR="00460B99" w:rsidRPr="0074622A" w:rsidRDefault="00645496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496">
              <w:rPr>
                <w:rFonts w:ascii="Times New Roman" w:hAnsi="Times New Roman"/>
                <w:sz w:val="20"/>
                <w:szCs w:val="20"/>
              </w:rPr>
              <w:t>https://www.facebook.com/profile.php?id=61553576331870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368D641C" w:rsidR="00460B99" w:rsidRPr="0074622A" w:rsidRDefault="00645496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5496">
              <w:rPr>
                <w:rFonts w:ascii="MS Gothic" w:eastAsia="MS Gothic" w:hAnsi="MS Gothic" w:hint="eastAsia"/>
                <w:sz w:val="28"/>
                <w:szCs w:val="24"/>
              </w:rPr>
              <w:t>x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6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7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7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7D65D6AF" w:rsidR="00DE4A0F" w:rsidRPr="0074622A" w:rsidRDefault="00EF5AC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7543C6C7" w:rsidR="009A09A3" w:rsidRPr="0074622A" w:rsidRDefault="00EF5AC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095A3DD" w:rsidR="009A09A3" w:rsidRPr="0074622A" w:rsidRDefault="00EF5AC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01BEC9D2" w:rsidR="009A09A3" w:rsidRPr="0074622A" w:rsidRDefault="00EF5AC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5C68D045" w:rsidR="009A09A3" w:rsidRPr="0074622A" w:rsidRDefault="00EF5AC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9724267" w:rsidR="009A09A3" w:rsidRPr="0074622A" w:rsidRDefault="00EF5AC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08FBF8FE" w:rsidR="009A09A3" w:rsidRPr="0074622A" w:rsidRDefault="00EF5AC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9E8C97D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EF5AC1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38A156CC" w:rsidR="006F6156" w:rsidRPr="0074622A" w:rsidRDefault="00A462D2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1D9BF10" w:rsidR="006F6156" w:rsidRPr="0074622A" w:rsidRDefault="00A462D2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A462D2">
              <w:rPr>
                <w:rFonts w:ascii="Segoe UI Symbol" w:hAnsi="Segoe UI Symbol" w:cs="Segoe UI Symbol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8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8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628DB9A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EF5AC1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55FA41F0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EF5AC1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7416F40D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EF5AC1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13A3F835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EF5AC1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3FA5A1A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EF5AC1"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064E4C82" w:rsidR="00F64545" w:rsidRPr="0074622A" w:rsidRDefault="00E93FFB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7AB29D9D" w:rsidR="00F64545" w:rsidRPr="0074622A" w:rsidRDefault="00E93FFB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4FA291E4" w:rsidR="00F64545" w:rsidRPr="0074622A" w:rsidRDefault="00E93FFB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1D3C7FF2" w:rsidR="00F64545" w:rsidRPr="0074622A" w:rsidRDefault="00EF5AC1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4E4F0E9B" w:rsidR="00F64545" w:rsidRPr="00E93FFB" w:rsidRDefault="00BA60DF" w:rsidP="00E93FFB">
            <w:pPr>
              <w:spacing w:after="0" w:line="180" w:lineRule="auto"/>
              <w:jc w:val="center"/>
              <w:rPr>
                <w:sz w:val="24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E93FFB">
              <w:rPr>
                <w:rFonts w:ascii="Times New Roman" w:hAnsi="Times New Roman"/>
                <w:sz w:val="24"/>
                <w:szCs w:val="16"/>
              </w:rPr>
              <w:t>0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DA04235" w:rsidR="00695809" w:rsidRPr="0074622A" w:rsidRDefault="006D1501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9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46CFD13C" w:rsidR="009865CC" w:rsidRPr="0074622A" w:rsidRDefault="00645496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542C366B" w:rsidR="00686EDA" w:rsidRPr="0074622A" w:rsidRDefault="00645496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2E3B9C7" w:rsidR="00686EDA" w:rsidRPr="0074622A" w:rsidRDefault="00645496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2B515262" w:rsidR="00FF3ED3" w:rsidRPr="0074622A" w:rsidRDefault="0064549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5496">
              <w:rPr>
                <w:rFonts w:ascii="Times New Roman" w:hAnsi="Times New Roman"/>
                <w:sz w:val="20"/>
                <w:szCs w:val="20"/>
              </w:rPr>
              <w:t xml:space="preserve">                       604273050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CB498C0" w:rsidR="00FF3ED3" w:rsidRPr="0074622A" w:rsidRDefault="00645496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5496">
              <w:rPr>
                <w:rFonts w:ascii="Times New Roman" w:hAnsi="Times New Roman"/>
                <w:sz w:val="20"/>
                <w:szCs w:val="20"/>
              </w:rPr>
              <w:t xml:space="preserve">             Gniewino 08.01.2024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1"/>
        <w:gridCol w:w="328"/>
        <w:gridCol w:w="328"/>
        <w:gridCol w:w="328"/>
        <w:gridCol w:w="302"/>
        <w:gridCol w:w="311"/>
        <w:gridCol w:w="254"/>
        <w:gridCol w:w="329"/>
        <w:gridCol w:w="320"/>
        <w:gridCol w:w="312"/>
        <w:gridCol w:w="303"/>
        <w:gridCol w:w="312"/>
        <w:gridCol w:w="329"/>
        <w:gridCol w:w="360"/>
        <w:gridCol w:w="329"/>
        <w:gridCol w:w="329"/>
        <w:gridCol w:w="268"/>
        <w:gridCol w:w="312"/>
        <w:gridCol w:w="363"/>
        <w:gridCol w:w="268"/>
        <w:gridCol w:w="329"/>
        <w:gridCol w:w="329"/>
        <w:gridCol w:w="303"/>
        <w:gridCol w:w="312"/>
        <w:gridCol w:w="329"/>
        <w:gridCol w:w="329"/>
        <w:gridCol w:w="312"/>
        <w:gridCol w:w="329"/>
        <w:gridCol w:w="255"/>
        <w:gridCol w:w="303"/>
        <w:gridCol w:w="312"/>
        <w:gridCol w:w="220"/>
        <w:gridCol w:w="220"/>
        <w:gridCol w:w="220"/>
        <w:gridCol w:w="220"/>
      </w:tblGrid>
      <w:tr w:rsidR="00645496" w:rsidRPr="0074622A" w14:paraId="444B9B2D" w14:textId="77777777" w:rsidTr="009C1674">
        <w:tc>
          <w:tcPr>
            <w:tcW w:w="238" w:type="dxa"/>
          </w:tcPr>
          <w:p w14:paraId="072FC8DC" w14:textId="1303AB96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4F394F0D" w14:textId="0F5B0B39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11" w:type="dxa"/>
          </w:tcPr>
          <w:p w14:paraId="649A893A" w14:textId="0E497C94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178F584E" w14:textId="0F0D6E0D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713B60D4" w14:textId="545282F8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0DFEA393" w14:textId="4CDA2E7F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7CD5E9EF" w14:textId="3E33128B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357C641F" w14:textId="3F1B6BC5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0019BB21" w14:textId="3F3B00DA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62C8780" w14:textId="5DE0FA5A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25572147" w14:textId="534A1537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11" w:type="dxa"/>
          </w:tcPr>
          <w:p w14:paraId="1AA477F0" w14:textId="656EF214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3299EF2E" w14:textId="56545CB8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56798C01" w14:textId="4499F74B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0FFCE978" w14:textId="192972AC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1" w:type="dxa"/>
          </w:tcPr>
          <w:p w14:paraId="749551AB" w14:textId="06C4107E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1F6B0C5A" w14:textId="13554E3D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68C59CA7" w14:textId="70DD43DA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017A935" w14:textId="45F914BA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1" w:type="dxa"/>
          </w:tcPr>
          <w:p w14:paraId="26C3175E" w14:textId="3A163251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25644512" w14:textId="1865DA7B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12BA9570" w14:textId="749EE594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0" w:type="dxa"/>
          </w:tcPr>
          <w:p w14:paraId="1B03B19F" w14:textId="5AD8C3A5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0" w:type="dxa"/>
          </w:tcPr>
          <w:p w14:paraId="77C1E29F" w14:textId="710A84FC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641FE100" w14:textId="5A0BA668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0" w:type="dxa"/>
          </w:tcPr>
          <w:p w14:paraId="3607A4ED" w14:textId="6A27FA49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0" w:type="dxa"/>
          </w:tcPr>
          <w:p w14:paraId="5E4EEF76" w14:textId="1C73AFE0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5457A21" w14:textId="398A3728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0" w:type="dxa"/>
          </w:tcPr>
          <w:p w14:paraId="256B0BEC" w14:textId="1ED91003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16B51E99" w14:textId="6DB85695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3D63A075" w14:textId="7B666B50" w:rsidR="009C1674" w:rsidRPr="0074622A" w:rsidRDefault="0064549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11793F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6DAB" w14:textId="77777777" w:rsidR="00065FD2" w:rsidRDefault="00065FD2" w:rsidP="005840AE">
      <w:pPr>
        <w:spacing w:after="0" w:line="240" w:lineRule="auto"/>
      </w:pPr>
      <w:r>
        <w:separator/>
      </w:r>
    </w:p>
  </w:endnote>
  <w:endnote w:type="continuationSeparator" w:id="0">
    <w:p w14:paraId="3626E731" w14:textId="77777777" w:rsidR="00065FD2" w:rsidRDefault="00065FD2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FD30" w14:textId="77777777" w:rsidR="00065FD2" w:rsidRDefault="00065FD2" w:rsidP="005840AE">
      <w:pPr>
        <w:spacing w:after="0" w:line="240" w:lineRule="auto"/>
      </w:pPr>
      <w:r>
        <w:separator/>
      </w:r>
    </w:p>
  </w:footnote>
  <w:footnote w:type="continuationSeparator" w:id="0">
    <w:p w14:paraId="1A114C47" w14:textId="77777777" w:rsidR="00065FD2" w:rsidRDefault="00065FD2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3CEA" w14:textId="5E08654E" w:rsidR="0011793F" w:rsidRPr="00290310" w:rsidRDefault="0011793F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237D4E" w:rsidRPr="00237D4E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11793F" w:rsidRPr="008F642B" w:rsidRDefault="0011793F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5FD2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1793F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37D4E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445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3C5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496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501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00D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2D2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71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3FFB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AC1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C9DD74-BACD-43A7-98C2-98370C8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6276</Words>
  <Characters>37657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Dyrektor</cp:lastModifiedBy>
  <cp:revision>7</cp:revision>
  <cp:lastPrinted>2024-05-20T08:37:00Z</cp:lastPrinted>
  <dcterms:created xsi:type="dcterms:W3CDTF">2025-01-08T12:07:00Z</dcterms:created>
  <dcterms:modified xsi:type="dcterms:W3CDTF">2025-01-08T12:58:00Z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